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06E18" w14:textId="77777777" w:rsidR="007E674F" w:rsidRPr="003F14B2" w:rsidRDefault="007E674F" w:rsidP="007E674F">
      <w:pPr>
        <w:jc w:val="right"/>
        <w:rPr>
          <w:rFonts w:ascii="Calibri" w:hAnsi="Calibri" w:cs="Calibri"/>
          <w:b/>
          <w:bCs/>
          <w:sz w:val="20"/>
        </w:rPr>
      </w:pPr>
      <w:r w:rsidRPr="003F14B2">
        <w:rPr>
          <w:rFonts w:ascii="Calibri" w:hAnsi="Calibri"/>
          <w:b/>
          <w:bCs/>
          <w:sz w:val="20"/>
        </w:rPr>
        <w:t>Załącznik nr 10</w:t>
      </w:r>
    </w:p>
    <w:p w14:paraId="5DBC81E2" w14:textId="105C7ECF" w:rsidR="007E674F" w:rsidRPr="003F14B2" w:rsidRDefault="007E674F" w:rsidP="007E674F">
      <w:pPr>
        <w:jc w:val="right"/>
        <w:rPr>
          <w:rFonts w:ascii="Calibri" w:hAnsi="Calibri" w:cs="Calibri"/>
          <w:sz w:val="20"/>
        </w:rPr>
      </w:pPr>
      <w:r w:rsidRPr="003F14B2">
        <w:rPr>
          <w:rFonts w:ascii="Calibri" w:hAnsi="Calibri"/>
          <w:sz w:val="20"/>
        </w:rPr>
        <w:t xml:space="preserve">do Protokołu z </w:t>
      </w:r>
      <w:r w:rsidR="005A7ED6" w:rsidRPr="003F14B2">
        <w:rPr>
          <w:rFonts w:ascii="Calibri" w:hAnsi="Calibri"/>
          <w:sz w:val="20"/>
        </w:rPr>
        <w:t>21</w:t>
      </w:r>
      <w:r w:rsidRPr="003F14B2">
        <w:rPr>
          <w:rFonts w:ascii="Calibri" w:hAnsi="Calibri"/>
          <w:sz w:val="20"/>
        </w:rPr>
        <w:t xml:space="preserve"> posiedzenia Polsko-Ukraińskiej Komisji do Spraw Wód Granicznych</w:t>
      </w:r>
    </w:p>
    <w:p w14:paraId="23CF9BFC" w14:textId="5D082A7A" w:rsidR="00CE25EB" w:rsidRPr="003F14B2" w:rsidRDefault="005A7ED6" w:rsidP="007E674F">
      <w:pPr>
        <w:pStyle w:val="Bezodstpw"/>
        <w:ind w:firstLine="567"/>
        <w:jc w:val="right"/>
        <w:rPr>
          <w:rFonts w:cstheme="minorHAnsi"/>
          <w:b/>
          <w:sz w:val="24"/>
          <w:szCs w:val="24"/>
        </w:rPr>
      </w:pPr>
      <w:r w:rsidRPr="003F14B2">
        <w:rPr>
          <w:rFonts w:ascii="Calibri" w:hAnsi="Calibri"/>
          <w:sz w:val="20"/>
          <w:szCs w:val="20"/>
        </w:rPr>
        <w:t>online, 26- 27 października 2023</w:t>
      </w:r>
      <w:r w:rsidR="007E674F" w:rsidRPr="003F14B2">
        <w:rPr>
          <w:rFonts w:ascii="Calibri" w:hAnsi="Calibri"/>
          <w:sz w:val="20"/>
          <w:szCs w:val="20"/>
        </w:rPr>
        <w:t xml:space="preserve"> r.</w:t>
      </w:r>
    </w:p>
    <w:p w14:paraId="6E9FE710" w14:textId="77777777" w:rsidR="00F41552" w:rsidRPr="00743526" w:rsidRDefault="00F41552" w:rsidP="00876734">
      <w:pPr>
        <w:pStyle w:val="Bezodstpw"/>
        <w:spacing w:before="240"/>
        <w:ind w:firstLine="567"/>
        <w:jc w:val="center"/>
        <w:rPr>
          <w:rFonts w:cstheme="minorHAnsi"/>
          <w:b/>
          <w:sz w:val="24"/>
          <w:szCs w:val="24"/>
        </w:rPr>
      </w:pPr>
      <w:r w:rsidRPr="00743526">
        <w:rPr>
          <w:b/>
          <w:sz w:val="24"/>
          <w:szCs w:val="24"/>
        </w:rPr>
        <w:t xml:space="preserve">Sprawozdanie </w:t>
      </w:r>
    </w:p>
    <w:p w14:paraId="07704CD3" w14:textId="0E3ACAB0" w:rsidR="00F41552" w:rsidRPr="00743526" w:rsidRDefault="00F41552" w:rsidP="000433F5">
      <w:pPr>
        <w:pStyle w:val="Bezodstpw"/>
        <w:ind w:firstLine="567"/>
        <w:jc w:val="center"/>
        <w:rPr>
          <w:rFonts w:cstheme="minorHAnsi"/>
          <w:b/>
          <w:sz w:val="24"/>
          <w:szCs w:val="24"/>
        </w:rPr>
      </w:pPr>
      <w:r w:rsidRPr="00743526">
        <w:rPr>
          <w:b/>
          <w:sz w:val="24"/>
          <w:szCs w:val="24"/>
        </w:rPr>
        <w:t>o wykonaniu planu pracy Zastępców Pełnomocników za 202</w:t>
      </w:r>
      <w:r w:rsidR="005A7ED6" w:rsidRPr="00743526">
        <w:rPr>
          <w:b/>
          <w:sz w:val="24"/>
          <w:szCs w:val="24"/>
        </w:rPr>
        <w:t>3</w:t>
      </w:r>
      <w:r w:rsidRPr="00743526">
        <w:rPr>
          <w:b/>
          <w:sz w:val="24"/>
          <w:szCs w:val="24"/>
        </w:rPr>
        <w:t xml:space="preserve"> r. </w:t>
      </w:r>
    </w:p>
    <w:p w14:paraId="2C84526E" w14:textId="7543058D" w:rsidR="00CB2FC2" w:rsidRPr="00743526" w:rsidRDefault="00CB2FC2" w:rsidP="00CB2FC2">
      <w:pPr>
        <w:pStyle w:val="Bezodstpw"/>
        <w:spacing w:before="120" w:after="120"/>
        <w:rPr>
          <w:rFonts w:cstheme="minorHAnsi"/>
          <w:sz w:val="24"/>
          <w:szCs w:val="24"/>
        </w:rPr>
      </w:pPr>
      <w:r w:rsidRPr="00743526">
        <w:rPr>
          <w:b/>
          <w:sz w:val="24"/>
          <w:szCs w:val="24"/>
        </w:rPr>
        <w:t xml:space="preserve">І. Praca Zastępców Pełnomocników </w:t>
      </w:r>
      <w:r w:rsidRPr="00743526">
        <w:rPr>
          <w:sz w:val="24"/>
          <w:szCs w:val="24"/>
        </w:rPr>
        <w:t xml:space="preserve">odbywała się na podstawie zatwierdzonego na </w:t>
      </w:r>
      <w:r w:rsidR="002C05AE" w:rsidRPr="00743526">
        <w:rPr>
          <w:sz w:val="24"/>
          <w:szCs w:val="24"/>
        </w:rPr>
        <w:t xml:space="preserve">XХ </w:t>
      </w:r>
      <w:r w:rsidRPr="00743526">
        <w:rPr>
          <w:sz w:val="24"/>
          <w:szCs w:val="24"/>
        </w:rPr>
        <w:t>posiedzeniu Komisji Planu pracy Zastępców Pełnomocników rok na 202</w:t>
      </w:r>
      <w:r w:rsidR="005A7ED6" w:rsidRPr="00743526">
        <w:rPr>
          <w:sz w:val="24"/>
          <w:szCs w:val="24"/>
        </w:rPr>
        <w:t>3</w:t>
      </w:r>
      <w:r w:rsidRPr="00743526">
        <w:rPr>
          <w:sz w:val="24"/>
          <w:szCs w:val="24"/>
        </w:rPr>
        <w:t>.</w:t>
      </w:r>
    </w:p>
    <w:p w14:paraId="2238E923" w14:textId="77777777" w:rsidR="00CB2FC2" w:rsidRPr="00743526" w:rsidRDefault="00CB2FC2" w:rsidP="00CB2FC2">
      <w:pPr>
        <w:pStyle w:val="Bezodstpw"/>
        <w:spacing w:after="120"/>
        <w:rPr>
          <w:rFonts w:cstheme="minorHAnsi"/>
          <w:b/>
          <w:sz w:val="24"/>
          <w:szCs w:val="24"/>
        </w:rPr>
      </w:pPr>
      <w:r w:rsidRPr="00743526">
        <w:rPr>
          <w:b/>
          <w:sz w:val="24"/>
          <w:szCs w:val="24"/>
        </w:rPr>
        <w:t>II. Realizacja zadań</w:t>
      </w:r>
    </w:p>
    <w:p w14:paraId="7C54B083" w14:textId="77777777" w:rsidR="00CB2FC2" w:rsidRPr="00743526" w:rsidRDefault="00CB2FC2" w:rsidP="00BF7C4A">
      <w:pPr>
        <w:pStyle w:val="Bezodstpw"/>
        <w:spacing w:after="120"/>
        <w:jc w:val="both"/>
        <w:rPr>
          <w:rFonts w:cstheme="minorHAnsi"/>
          <w:sz w:val="24"/>
          <w:szCs w:val="24"/>
        </w:rPr>
      </w:pPr>
      <w:r w:rsidRPr="00743526">
        <w:rPr>
          <w:sz w:val="24"/>
          <w:szCs w:val="24"/>
        </w:rPr>
        <w:t>W planie i protokole zadań do wykonywania przez Zastępców Pełnomocników przewidziano następujące zadania:</w:t>
      </w:r>
    </w:p>
    <w:p w14:paraId="612CF16F" w14:textId="08C9FE80" w:rsidR="005A7ED6" w:rsidRPr="00743526" w:rsidRDefault="005A7ED6" w:rsidP="005A7ED6">
      <w:pPr>
        <w:pStyle w:val="Bezodstpw"/>
        <w:numPr>
          <w:ilvl w:val="0"/>
          <w:numId w:val="32"/>
        </w:numPr>
        <w:spacing w:after="120"/>
        <w:rPr>
          <w:sz w:val="24"/>
          <w:szCs w:val="24"/>
        </w:rPr>
      </w:pPr>
      <w:r w:rsidRPr="00743526">
        <w:rPr>
          <w:sz w:val="24"/>
          <w:szCs w:val="24"/>
        </w:rPr>
        <w:t xml:space="preserve">Rozpatrzenie możliwości realizacji projektu „Wspieranie współpracy międzynarodowej w zakresie zarządzania wodami powierzchniowymi i gruntowymi w dorzeczach Bugu i Niemna oraz leżącymi u ich podstaw systemami warstw wodonośnych” z odpowiednimi organizacjami międzynarodowymi (UNESCO-IHP, OBWE, UNDP) </w:t>
      </w:r>
      <w:bookmarkStart w:id="0" w:name="_Hlk149128420"/>
      <w:r w:rsidRPr="00743526">
        <w:rPr>
          <w:sz w:val="24"/>
          <w:szCs w:val="24"/>
        </w:rPr>
        <w:t>i dalsze informowanie Komisji w tym zakresie;</w:t>
      </w:r>
    </w:p>
    <w:bookmarkEnd w:id="0"/>
    <w:p w14:paraId="5C5E3DC0" w14:textId="26F73B3F" w:rsidR="00580896" w:rsidRPr="00743526" w:rsidRDefault="00580896" w:rsidP="0024044E">
      <w:pPr>
        <w:pStyle w:val="Bezodstpw"/>
        <w:numPr>
          <w:ilvl w:val="0"/>
          <w:numId w:val="32"/>
        </w:numPr>
        <w:spacing w:after="120"/>
        <w:jc w:val="both"/>
        <w:rPr>
          <w:sz w:val="24"/>
          <w:szCs w:val="24"/>
        </w:rPr>
      </w:pPr>
      <w:r w:rsidRPr="00743526">
        <w:rPr>
          <w:rFonts w:cstheme="minorHAnsi"/>
          <w:sz w:val="24"/>
          <w:szCs w:val="24"/>
          <w:lang w:val="uk-UA"/>
        </w:rPr>
        <w:t>Poszukiwanie możliwości realizacji wspólnych projektów międzynarodowych związanych z poprawą stanu ekologicznego wód granicznych w ramach programów międzynarodowej pomocy technicznej</w:t>
      </w:r>
      <w:r w:rsidR="0024044E" w:rsidRPr="00743526">
        <w:rPr>
          <w:rFonts w:cstheme="minorHAnsi"/>
          <w:sz w:val="24"/>
          <w:szCs w:val="24"/>
        </w:rPr>
        <w:t>, w tym Programu Współpracy Transgranicznej Interreg NEXT Polska-Ukraina 2021-2027 oraz przeanalizowanie możliwości przygotowania wspólnych wniosków projektowych</w:t>
      </w:r>
      <w:r w:rsidRPr="00743526">
        <w:rPr>
          <w:rFonts w:cstheme="minorHAnsi"/>
          <w:sz w:val="24"/>
          <w:szCs w:val="24"/>
          <w:lang w:val="uk-UA"/>
        </w:rPr>
        <w:t>;</w:t>
      </w:r>
    </w:p>
    <w:p w14:paraId="6C145844" w14:textId="77777777" w:rsidR="00580896" w:rsidRPr="00743526" w:rsidRDefault="00580896" w:rsidP="00580896">
      <w:pPr>
        <w:pStyle w:val="Bezodstpw"/>
        <w:numPr>
          <w:ilvl w:val="0"/>
          <w:numId w:val="32"/>
        </w:numPr>
        <w:spacing w:after="120"/>
        <w:jc w:val="both"/>
        <w:rPr>
          <w:rFonts w:cstheme="minorHAnsi"/>
          <w:sz w:val="24"/>
          <w:szCs w:val="24"/>
        </w:rPr>
      </w:pPr>
      <w:r w:rsidRPr="00743526">
        <w:rPr>
          <w:sz w:val="24"/>
          <w:szCs w:val="24"/>
        </w:rPr>
        <w:t>Koordynacja materiałów grup roboczych przedłożonych na posiedzenie Komisji;</w:t>
      </w:r>
    </w:p>
    <w:p w14:paraId="29788246" w14:textId="1C0C334C" w:rsidR="00580896" w:rsidRPr="00743526" w:rsidRDefault="00580896" w:rsidP="00580896">
      <w:pPr>
        <w:pStyle w:val="Bezodstpw"/>
        <w:numPr>
          <w:ilvl w:val="0"/>
          <w:numId w:val="32"/>
        </w:numPr>
        <w:spacing w:after="120"/>
        <w:rPr>
          <w:sz w:val="24"/>
          <w:szCs w:val="24"/>
        </w:rPr>
      </w:pPr>
      <w:r w:rsidRPr="00743526">
        <w:rPr>
          <w:sz w:val="24"/>
          <w:szCs w:val="24"/>
        </w:rPr>
        <w:t xml:space="preserve">Udział w </w:t>
      </w:r>
      <w:r w:rsidR="002C05AE" w:rsidRPr="00743526">
        <w:rPr>
          <w:sz w:val="24"/>
          <w:szCs w:val="24"/>
        </w:rPr>
        <w:t xml:space="preserve">XХI </w:t>
      </w:r>
      <w:r w:rsidR="0024044E" w:rsidRPr="00743526">
        <w:rPr>
          <w:sz w:val="24"/>
          <w:szCs w:val="24"/>
        </w:rPr>
        <w:t>posiedzeniu Komisji;</w:t>
      </w:r>
    </w:p>
    <w:p w14:paraId="1E175C18" w14:textId="39D25CF1" w:rsidR="00CB2FC2" w:rsidRPr="00743526" w:rsidRDefault="005A7ED6" w:rsidP="005A7ED6">
      <w:pPr>
        <w:pStyle w:val="Bezodstpw"/>
        <w:numPr>
          <w:ilvl w:val="0"/>
          <w:numId w:val="32"/>
        </w:numPr>
        <w:spacing w:after="120"/>
        <w:jc w:val="both"/>
        <w:rPr>
          <w:rFonts w:cstheme="minorHAnsi"/>
          <w:sz w:val="24"/>
          <w:szCs w:val="24"/>
        </w:rPr>
      </w:pPr>
      <w:r w:rsidRPr="00743526">
        <w:rPr>
          <w:sz w:val="24"/>
          <w:szCs w:val="24"/>
        </w:rPr>
        <w:t>Przeprowadzenie spotkania zastępców Pełnomocników w 2023 r., w razie potrzeby;</w:t>
      </w:r>
    </w:p>
    <w:p w14:paraId="62063FBE" w14:textId="508304E4" w:rsidR="00CB2FC2" w:rsidRPr="00743526" w:rsidRDefault="009609C4" w:rsidP="00580896">
      <w:pPr>
        <w:pStyle w:val="Bezodstpw"/>
        <w:numPr>
          <w:ilvl w:val="0"/>
          <w:numId w:val="32"/>
        </w:numPr>
        <w:spacing w:after="120"/>
        <w:jc w:val="both"/>
        <w:rPr>
          <w:rFonts w:cstheme="minorHAnsi"/>
          <w:sz w:val="24"/>
          <w:szCs w:val="24"/>
        </w:rPr>
      </w:pPr>
      <w:r w:rsidRPr="00743526">
        <w:rPr>
          <w:sz w:val="24"/>
          <w:szCs w:val="24"/>
        </w:rPr>
        <w:t>Współpraca i wymiana informacji z Kierownikami Grup Roboczych w zakresi</w:t>
      </w:r>
      <w:r w:rsidR="0024044E" w:rsidRPr="00743526">
        <w:rPr>
          <w:sz w:val="24"/>
          <w:szCs w:val="24"/>
        </w:rPr>
        <w:t>e dalszych zadań grup roboczych.</w:t>
      </w:r>
    </w:p>
    <w:p w14:paraId="24C8503E" w14:textId="44CB0C89" w:rsidR="00CB2FC2" w:rsidRPr="00743526" w:rsidRDefault="00CB2FC2" w:rsidP="00BF7C4A">
      <w:pPr>
        <w:pStyle w:val="Bezodstpw"/>
        <w:spacing w:after="120"/>
        <w:jc w:val="both"/>
        <w:rPr>
          <w:rFonts w:cstheme="minorHAnsi"/>
          <w:sz w:val="24"/>
          <w:szCs w:val="24"/>
        </w:rPr>
      </w:pPr>
      <w:r w:rsidRPr="00743526">
        <w:rPr>
          <w:sz w:val="24"/>
          <w:szCs w:val="24"/>
        </w:rPr>
        <w:t>Plan pracy Zas</w:t>
      </w:r>
      <w:r w:rsidR="0011570B" w:rsidRPr="00743526">
        <w:rPr>
          <w:sz w:val="24"/>
          <w:szCs w:val="24"/>
        </w:rPr>
        <w:t>tępców Pełnomocników na rok 202</w:t>
      </w:r>
      <w:r w:rsidR="005A7ED6" w:rsidRPr="00743526">
        <w:rPr>
          <w:sz w:val="24"/>
          <w:szCs w:val="24"/>
        </w:rPr>
        <w:t>3</w:t>
      </w:r>
      <w:r w:rsidRPr="00743526">
        <w:rPr>
          <w:sz w:val="24"/>
          <w:szCs w:val="24"/>
        </w:rPr>
        <w:t xml:space="preserve"> został w c</w:t>
      </w:r>
      <w:r w:rsidR="00282802" w:rsidRPr="00743526">
        <w:rPr>
          <w:sz w:val="24"/>
          <w:szCs w:val="24"/>
        </w:rPr>
        <w:t xml:space="preserve">ałości zrealizowany. </w:t>
      </w:r>
      <w:bookmarkStart w:id="1" w:name="_Hlk149129736"/>
      <w:r w:rsidR="00282802" w:rsidRPr="00743526">
        <w:rPr>
          <w:sz w:val="24"/>
          <w:szCs w:val="24"/>
        </w:rPr>
        <w:t xml:space="preserve">Strony podjęły decyzję, aby </w:t>
      </w:r>
      <w:r w:rsidR="009A03FD" w:rsidRPr="00743526">
        <w:rPr>
          <w:sz w:val="24"/>
          <w:szCs w:val="24"/>
        </w:rPr>
        <w:t>posiedzenia</w:t>
      </w:r>
      <w:r w:rsidR="00282802" w:rsidRPr="00743526">
        <w:rPr>
          <w:sz w:val="24"/>
          <w:szCs w:val="24"/>
        </w:rPr>
        <w:t xml:space="preserve"> Zastępców Pełnomocników przeprowadzać w razie pilnej potrzeby. W roku 2023 nie wystąpiła potrzeba przep</w:t>
      </w:r>
      <w:r w:rsidR="009A03FD" w:rsidRPr="00743526">
        <w:rPr>
          <w:sz w:val="24"/>
          <w:szCs w:val="24"/>
        </w:rPr>
        <w:t>rowadzenia spotkania.</w:t>
      </w:r>
      <w:bookmarkEnd w:id="1"/>
      <w:r w:rsidR="009A03FD" w:rsidRPr="00743526">
        <w:rPr>
          <w:sz w:val="24"/>
          <w:szCs w:val="24"/>
        </w:rPr>
        <w:t xml:space="preserve"> </w:t>
      </w:r>
      <w:r w:rsidRPr="00743526">
        <w:rPr>
          <w:sz w:val="24"/>
          <w:szCs w:val="24"/>
        </w:rPr>
        <w:t>Kwestie współpracy pomiędzy Stronami były rozwiązywane w drodze bieżącej komunikacji przy pomocy środków komunikacji elektronicznej.</w:t>
      </w:r>
    </w:p>
    <w:p w14:paraId="0DE327A4" w14:textId="2193E014" w:rsidR="00BF7C4A" w:rsidRPr="00743526" w:rsidRDefault="00BF7C4A" w:rsidP="00BF7C4A">
      <w:pPr>
        <w:pStyle w:val="Bezodstpw"/>
        <w:spacing w:after="120"/>
        <w:jc w:val="both"/>
        <w:rPr>
          <w:sz w:val="24"/>
          <w:szCs w:val="24"/>
        </w:rPr>
      </w:pPr>
      <w:r w:rsidRPr="00743526">
        <w:rPr>
          <w:sz w:val="24"/>
          <w:szCs w:val="24"/>
        </w:rPr>
        <w:t>P</w:t>
      </w:r>
      <w:r w:rsidR="00CB2FC2" w:rsidRPr="00743526">
        <w:rPr>
          <w:sz w:val="24"/>
          <w:szCs w:val="24"/>
        </w:rPr>
        <w:t xml:space="preserve">ostęp w zakresie przygotowania i realizacji projektu </w:t>
      </w:r>
      <w:r w:rsidR="005A7ED6" w:rsidRPr="00743526">
        <w:rPr>
          <w:sz w:val="24"/>
          <w:szCs w:val="24"/>
        </w:rPr>
        <w:t xml:space="preserve">„Wspieranie współpracy międzynarodowej </w:t>
      </w:r>
      <w:r w:rsidR="00FD55A3" w:rsidRPr="00743526">
        <w:rPr>
          <w:sz w:val="24"/>
          <w:szCs w:val="24"/>
        </w:rPr>
        <w:br/>
      </w:r>
      <w:r w:rsidR="005A7ED6" w:rsidRPr="00743526">
        <w:rPr>
          <w:sz w:val="24"/>
          <w:szCs w:val="24"/>
        </w:rPr>
        <w:t>w zakresie zarządzania wodami powierzchniowymi i gruntowymi w dorzeczach Bugu i Niemna oraz leżącymi u ich podstaw systemami warstw wodonośnych”</w:t>
      </w:r>
      <w:r w:rsidR="00CB2FC2" w:rsidRPr="00743526">
        <w:rPr>
          <w:sz w:val="24"/>
          <w:szCs w:val="24"/>
        </w:rPr>
        <w:t xml:space="preserve"> w okresie sprawozdawczym nie nastąpił.</w:t>
      </w:r>
      <w:r w:rsidR="005A7ED6" w:rsidRPr="00743526">
        <w:rPr>
          <w:sz w:val="24"/>
          <w:szCs w:val="24"/>
        </w:rPr>
        <w:t xml:space="preserve"> </w:t>
      </w:r>
      <w:r w:rsidR="00FD55A3" w:rsidRPr="00743526">
        <w:rPr>
          <w:sz w:val="24"/>
          <w:szCs w:val="24"/>
        </w:rPr>
        <w:t xml:space="preserve">Zastępca Pełnomocnika Strony polskiej wystosowała zapytanie do Stałego Przedstawicielstwa RP przy UNESCO z prośbą o ustalenie statusu projektu. Z informacji uzyskanych w Sekretariacie UNESCO wynika, że oczekiwana jest aktualizacja informacji o statusie projektu od agencji wdrażającej, tj. UNDP. Dalsze informacje będą na bieżąco przekazywane z Sekretariatu UNESCO. </w:t>
      </w:r>
    </w:p>
    <w:p w14:paraId="680DB33A" w14:textId="65CF86F7" w:rsidR="00BB7308" w:rsidRPr="00743526" w:rsidRDefault="00BB7308" w:rsidP="00BF7C4A">
      <w:pPr>
        <w:pStyle w:val="Bezodstpw"/>
        <w:spacing w:after="120"/>
        <w:jc w:val="both"/>
        <w:rPr>
          <w:rFonts w:cstheme="minorHAnsi"/>
          <w:sz w:val="24"/>
          <w:szCs w:val="24"/>
          <w:lang w:val="uk-UA"/>
        </w:rPr>
      </w:pPr>
      <w:r w:rsidRPr="00743526">
        <w:rPr>
          <w:rFonts w:cstheme="minorHAnsi"/>
          <w:sz w:val="24"/>
          <w:szCs w:val="24"/>
          <w:lang w:val="uk-UA"/>
        </w:rPr>
        <w:t xml:space="preserve">W roku 2023 </w:t>
      </w:r>
      <w:r w:rsidR="006E5460" w:rsidRPr="00743526">
        <w:rPr>
          <w:rFonts w:cstheme="minorHAnsi"/>
          <w:sz w:val="24"/>
          <w:szCs w:val="24"/>
        </w:rPr>
        <w:t xml:space="preserve">strony </w:t>
      </w:r>
      <w:r w:rsidR="006E5460" w:rsidRPr="00743526">
        <w:rPr>
          <w:rFonts w:cstheme="minorHAnsi"/>
          <w:sz w:val="24"/>
          <w:szCs w:val="24"/>
          <w:lang w:val="uk-UA"/>
        </w:rPr>
        <w:t>prowadzi</w:t>
      </w:r>
      <w:r w:rsidR="00A73880" w:rsidRPr="00743526">
        <w:rPr>
          <w:rFonts w:cstheme="minorHAnsi"/>
          <w:sz w:val="24"/>
          <w:szCs w:val="24"/>
        </w:rPr>
        <w:t>ły</w:t>
      </w:r>
      <w:r w:rsidR="006E5460" w:rsidRPr="00743526">
        <w:rPr>
          <w:rFonts w:cstheme="minorHAnsi"/>
          <w:sz w:val="24"/>
          <w:szCs w:val="24"/>
          <w:lang w:val="uk-UA"/>
        </w:rPr>
        <w:t xml:space="preserve"> współprac</w:t>
      </w:r>
      <w:r w:rsidR="006E5460" w:rsidRPr="00743526">
        <w:rPr>
          <w:rFonts w:cstheme="minorHAnsi"/>
          <w:sz w:val="24"/>
          <w:szCs w:val="24"/>
        </w:rPr>
        <w:t>ę</w:t>
      </w:r>
      <w:r w:rsidRPr="00743526">
        <w:rPr>
          <w:rFonts w:cstheme="minorHAnsi"/>
          <w:sz w:val="24"/>
          <w:szCs w:val="24"/>
          <w:lang w:val="uk-UA"/>
        </w:rPr>
        <w:t xml:space="preserve"> w celu realizacji projektów międzynarodowych.</w:t>
      </w:r>
    </w:p>
    <w:p w14:paraId="270BF96A" w14:textId="4FD35AFF" w:rsidR="006E5460" w:rsidRPr="00743526" w:rsidRDefault="006E5460" w:rsidP="00C36878">
      <w:pPr>
        <w:pStyle w:val="Bezodstpw"/>
        <w:spacing w:after="120"/>
        <w:jc w:val="both"/>
        <w:rPr>
          <w:rFonts w:cstheme="minorHAnsi"/>
          <w:sz w:val="24"/>
          <w:szCs w:val="24"/>
        </w:rPr>
      </w:pPr>
      <w:r w:rsidRPr="00743526">
        <w:rPr>
          <w:rFonts w:cstheme="minorHAnsi"/>
          <w:sz w:val="24"/>
          <w:szCs w:val="24"/>
        </w:rPr>
        <w:t xml:space="preserve">W ramach programu Polskiej Pomocy Rozwojowej, Ministerstwo Infrastruktury RP złożyło wniosek </w:t>
      </w:r>
      <w:r w:rsidR="00C36878" w:rsidRPr="00743526">
        <w:rPr>
          <w:rFonts w:cstheme="minorHAnsi"/>
          <w:sz w:val="24"/>
          <w:szCs w:val="24"/>
        </w:rPr>
        <w:br/>
      </w:r>
      <w:r w:rsidRPr="00743526">
        <w:rPr>
          <w:rFonts w:cstheme="minorHAnsi"/>
          <w:sz w:val="24"/>
          <w:szCs w:val="24"/>
        </w:rPr>
        <w:t>o dofinansowanie projektu</w:t>
      </w:r>
      <w:r w:rsidRPr="00743526">
        <w:rPr>
          <w:rFonts w:cstheme="minorHAnsi"/>
          <w:sz w:val="24"/>
          <w:szCs w:val="24"/>
          <w:lang w:val="uk-UA"/>
        </w:rPr>
        <w:t xml:space="preserve"> </w:t>
      </w:r>
      <w:bookmarkStart w:id="2" w:name="_Hlk149129912"/>
      <w:r w:rsidRPr="00743526">
        <w:rPr>
          <w:rFonts w:cstheme="minorHAnsi"/>
          <w:sz w:val="24"/>
          <w:szCs w:val="24"/>
          <w:lang w:val="uk-UA"/>
        </w:rPr>
        <w:t xml:space="preserve">Państwowego </w:t>
      </w:r>
      <w:r w:rsidRPr="00743526">
        <w:rPr>
          <w:rFonts w:cstheme="minorHAnsi"/>
          <w:sz w:val="24"/>
          <w:szCs w:val="24"/>
        </w:rPr>
        <w:t>Gospodarstwa Wodnego</w:t>
      </w:r>
      <w:r w:rsidRPr="00743526">
        <w:rPr>
          <w:rFonts w:cstheme="minorHAnsi"/>
          <w:sz w:val="24"/>
          <w:szCs w:val="24"/>
          <w:lang w:val="uk-UA"/>
        </w:rPr>
        <w:t xml:space="preserve"> Wody Polskie</w:t>
      </w:r>
      <w:bookmarkEnd w:id="2"/>
      <w:r w:rsidRPr="00743526">
        <w:rPr>
          <w:rFonts w:cstheme="minorHAnsi"/>
          <w:sz w:val="24"/>
          <w:szCs w:val="24"/>
          <w:lang w:val="uk-UA"/>
        </w:rPr>
        <w:t xml:space="preserve"> </w:t>
      </w:r>
      <w:r w:rsidRPr="00743526">
        <w:rPr>
          <w:rFonts w:cstheme="minorHAnsi"/>
          <w:sz w:val="24"/>
          <w:szCs w:val="24"/>
        </w:rPr>
        <w:t xml:space="preserve">dotyczącego wsparcia Ukrainy </w:t>
      </w:r>
      <w:r w:rsidR="00C36878" w:rsidRPr="00743526">
        <w:rPr>
          <w:rFonts w:cstheme="minorHAnsi"/>
          <w:sz w:val="24"/>
          <w:szCs w:val="24"/>
        </w:rPr>
        <w:t>w zakresie „</w:t>
      </w:r>
      <w:bookmarkStart w:id="3" w:name="_Hlk149129212"/>
      <w:r w:rsidR="00C36878" w:rsidRPr="00743526">
        <w:rPr>
          <w:rFonts w:cstheme="minorHAnsi"/>
          <w:i/>
          <w:sz w:val="24"/>
          <w:szCs w:val="24"/>
        </w:rPr>
        <w:t xml:space="preserve">Wzmocnienie administracji rządowej i samorządowej w ukraińskiej </w:t>
      </w:r>
      <w:r w:rsidR="00C36878" w:rsidRPr="00743526">
        <w:rPr>
          <w:rFonts w:cstheme="minorHAnsi"/>
          <w:i/>
          <w:sz w:val="24"/>
          <w:szCs w:val="24"/>
        </w:rPr>
        <w:lastRenderedPageBreak/>
        <w:t xml:space="preserve">części zlewni Bugu, Sanu i Dniestru w zakresie skutecznego zarządzania środowiskiem wodnym oraz prawidłowego wdrożenia </w:t>
      </w:r>
      <w:bookmarkStart w:id="4" w:name="_Hlk149129159"/>
      <w:r w:rsidR="00C36878" w:rsidRPr="00743526">
        <w:rPr>
          <w:rFonts w:cstheme="minorHAnsi"/>
          <w:i/>
          <w:sz w:val="24"/>
          <w:szCs w:val="24"/>
        </w:rPr>
        <w:t xml:space="preserve">acquis communautaire </w:t>
      </w:r>
      <w:bookmarkEnd w:id="4"/>
      <w:r w:rsidR="00C36878" w:rsidRPr="00743526">
        <w:rPr>
          <w:rFonts w:cstheme="minorHAnsi"/>
          <w:i/>
          <w:sz w:val="24"/>
          <w:szCs w:val="24"/>
        </w:rPr>
        <w:t>w zakresie gospodarowania wodami, z uwzględnieniem odbudowy potencjału tych instytucji po stratach poniesionych w wyniku rosyjskiej agresji</w:t>
      </w:r>
      <w:bookmarkEnd w:id="3"/>
      <w:r w:rsidR="00C36878" w:rsidRPr="00743526">
        <w:rPr>
          <w:rFonts w:cstheme="minorHAnsi"/>
          <w:i/>
          <w:sz w:val="24"/>
          <w:szCs w:val="24"/>
        </w:rPr>
        <w:t xml:space="preserve">”. </w:t>
      </w:r>
      <w:r w:rsidR="00C36878" w:rsidRPr="00743526">
        <w:rPr>
          <w:rFonts w:cstheme="minorHAnsi"/>
          <w:sz w:val="24"/>
          <w:szCs w:val="24"/>
        </w:rPr>
        <w:t xml:space="preserve">Projekt zakłada między innymi  </w:t>
      </w:r>
      <w:r w:rsidR="00C36878" w:rsidRPr="00743526">
        <w:rPr>
          <w:rFonts w:cstheme="minorHAnsi"/>
          <w:sz w:val="24"/>
          <w:szCs w:val="24"/>
          <w:lang w:val="uk-UA"/>
        </w:rPr>
        <w:t>szkolenia</w:t>
      </w:r>
      <w:r w:rsidRPr="00743526">
        <w:rPr>
          <w:rFonts w:cstheme="minorHAnsi"/>
          <w:sz w:val="24"/>
          <w:szCs w:val="24"/>
          <w:lang w:val="uk-UA"/>
        </w:rPr>
        <w:t xml:space="preserve"> ukraińskich specjalistów w zakresie zasobów wodnych gospodarki wodnej, mo</w:t>
      </w:r>
      <w:r w:rsidR="00C36878" w:rsidRPr="00743526">
        <w:rPr>
          <w:rFonts w:cstheme="minorHAnsi"/>
          <w:sz w:val="24"/>
          <w:szCs w:val="24"/>
          <w:lang w:val="uk-UA"/>
        </w:rPr>
        <w:t xml:space="preserve">nitoringu wód powierzchniowych oraz </w:t>
      </w:r>
      <w:r w:rsidRPr="00743526">
        <w:rPr>
          <w:rFonts w:cstheme="minorHAnsi"/>
          <w:sz w:val="24"/>
          <w:szCs w:val="24"/>
          <w:lang w:val="uk-UA"/>
        </w:rPr>
        <w:t>systemów geoinformacyjnych.</w:t>
      </w:r>
      <w:r w:rsidR="00C36878" w:rsidRPr="00743526">
        <w:rPr>
          <w:rFonts w:cstheme="minorHAnsi"/>
          <w:sz w:val="24"/>
          <w:szCs w:val="24"/>
        </w:rPr>
        <w:t xml:space="preserve"> Z powodów proceduralnych realizacja projektu została przesunięta na lata 2024 – 2025. </w:t>
      </w:r>
    </w:p>
    <w:p w14:paraId="2D11CDC2" w14:textId="2BBF84C9" w:rsidR="00C36878" w:rsidRPr="00743526" w:rsidRDefault="00C36878" w:rsidP="00C36878">
      <w:pPr>
        <w:pStyle w:val="Bezodstpw"/>
        <w:spacing w:after="120"/>
        <w:jc w:val="both"/>
        <w:rPr>
          <w:rFonts w:cstheme="minorHAnsi"/>
          <w:sz w:val="24"/>
          <w:szCs w:val="24"/>
        </w:rPr>
      </w:pPr>
      <w:r w:rsidRPr="00743526">
        <w:rPr>
          <w:rFonts w:cstheme="minorHAnsi"/>
          <w:sz w:val="24"/>
          <w:szCs w:val="24"/>
        </w:rPr>
        <w:t xml:space="preserve">Ponadto, w ramach </w:t>
      </w:r>
      <w:r w:rsidR="001B5B81" w:rsidRPr="00743526">
        <w:rPr>
          <w:rFonts w:cstheme="minorHAnsi"/>
          <w:sz w:val="24"/>
          <w:szCs w:val="24"/>
        </w:rPr>
        <w:t xml:space="preserve">Szwedzkiego </w:t>
      </w:r>
      <w:r w:rsidRPr="00743526">
        <w:rPr>
          <w:rFonts w:cstheme="minorHAnsi"/>
          <w:sz w:val="24"/>
          <w:szCs w:val="24"/>
        </w:rPr>
        <w:t xml:space="preserve">Programu Sąsiedztwa Morza Bałtyckiego, Zlewniowy Zarząd Bugu i Sanu oraz Państwowe Gospodarstwo Wodne Wody Polskie, wraz z Instytutem Szwedzkim, otrzymały dotację i </w:t>
      </w:r>
      <w:r w:rsidR="00661087" w:rsidRPr="00743526">
        <w:rPr>
          <w:rFonts w:cstheme="minorHAnsi"/>
          <w:sz w:val="24"/>
          <w:szCs w:val="24"/>
        </w:rPr>
        <w:t xml:space="preserve">od sierpnia 2023 r. </w:t>
      </w:r>
      <w:r w:rsidRPr="00743526">
        <w:rPr>
          <w:rFonts w:cstheme="minorHAnsi"/>
          <w:sz w:val="24"/>
          <w:szCs w:val="24"/>
        </w:rPr>
        <w:t xml:space="preserve">rozpoczęły realizację projektu, który potrwa 15 miesięcy. Głównym celem projektu jest przekazanie wiedzy europejskich ekspertów </w:t>
      </w:r>
      <w:r w:rsidR="0056213D" w:rsidRPr="00743526">
        <w:rPr>
          <w:rFonts w:cstheme="minorHAnsi"/>
          <w:sz w:val="24"/>
          <w:szCs w:val="24"/>
        </w:rPr>
        <w:t>samorządom lokalnym regionu lwowskiego</w:t>
      </w:r>
      <w:r w:rsidR="001B5B81" w:rsidRPr="00743526">
        <w:rPr>
          <w:rFonts w:cstheme="minorHAnsi"/>
          <w:sz w:val="24"/>
          <w:szCs w:val="24"/>
        </w:rPr>
        <w:t>,</w:t>
      </w:r>
      <w:r w:rsidR="0056213D" w:rsidRPr="00743526">
        <w:rPr>
          <w:rFonts w:cstheme="minorHAnsi"/>
          <w:sz w:val="24"/>
          <w:szCs w:val="24"/>
        </w:rPr>
        <w:t xml:space="preserve"> miast</w:t>
      </w:r>
      <w:r w:rsidR="001B5B81" w:rsidRPr="00743526">
        <w:rPr>
          <w:rFonts w:cstheme="minorHAnsi"/>
          <w:sz w:val="24"/>
          <w:szCs w:val="24"/>
        </w:rPr>
        <w:t>u</w:t>
      </w:r>
      <w:r w:rsidR="0056213D" w:rsidRPr="00743526">
        <w:rPr>
          <w:rFonts w:cstheme="minorHAnsi"/>
          <w:sz w:val="24"/>
          <w:szCs w:val="24"/>
        </w:rPr>
        <w:t xml:space="preserve"> Lwów oraz Państwowej </w:t>
      </w:r>
      <w:r w:rsidR="001B5B81" w:rsidRPr="00743526">
        <w:rPr>
          <w:rFonts w:cstheme="minorHAnsi"/>
          <w:sz w:val="24"/>
          <w:szCs w:val="24"/>
        </w:rPr>
        <w:t xml:space="preserve">Agencji Zasobów Wodnych </w:t>
      </w:r>
      <w:r w:rsidR="0056213D" w:rsidRPr="00743526">
        <w:rPr>
          <w:rFonts w:cstheme="minorHAnsi"/>
          <w:sz w:val="24"/>
          <w:szCs w:val="24"/>
        </w:rPr>
        <w:t>Ukrainy</w:t>
      </w:r>
      <w:r w:rsidR="00F86A94" w:rsidRPr="00743526">
        <w:rPr>
          <w:rFonts w:cstheme="minorHAnsi"/>
          <w:sz w:val="24"/>
          <w:szCs w:val="24"/>
        </w:rPr>
        <w:t xml:space="preserve"> </w:t>
      </w:r>
      <w:r w:rsidR="0056213D" w:rsidRPr="00743526">
        <w:rPr>
          <w:rFonts w:cstheme="minorHAnsi"/>
          <w:sz w:val="24"/>
          <w:szCs w:val="24"/>
        </w:rPr>
        <w:t>w zakresie gospodarki ściekowej</w:t>
      </w:r>
      <w:r w:rsidRPr="00743526">
        <w:rPr>
          <w:rFonts w:cstheme="minorHAnsi"/>
          <w:sz w:val="24"/>
          <w:szCs w:val="24"/>
        </w:rPr>
        <w:t>.</w:t>
      </w:r>
      <w:r w:rsidR="0056213D" w:rsidRPr="00743526">
        <w:rPr>
          <w:rFonts w:cstheme="minorHAnsi"/>
          <w:sz w:val="24"/>
          <w:szCs w:val="24"/>
        </w:rPr>
        <w:t xml:space="preserve"> </w:t>
      </w:r>
      <w:bookmarkStart w:id="5" w:name="_Hlk149130877"/>
      <w:r w:rsidR="0056213D" w:rsidRPr="00743526">
        <w:rPr>
          <w:rFonts w:cstheme="minorHAnsi"/>
          <w:sz w:val="24"/>
          <w:szCs w:val="24"/>
        </w:rPr>
        <w:t xml:space="preserve">PGW WP </w:t>
      </w:r>
      <w:bookmarkEnd w:id="5"/>
      <w:r w:rsidR="0056213D" w:rsidRPr="00743526">
        <w:rPr>
          <w:rFonts w:cstheme="minorHAnsi"/>
          <w:sz w:val="24"/>
          <w:szCs w:val="24"/>
        </w:rPr>
        <w:t>są partnerem współfinansującym.</w:t>
      </w:r>
    </w:p>
    <w:p w14:paraId="7F8A7E90" w14:textId="0172DA22" w:rsidR="000467DE" w:rsidRPr="00743526" w:rsidRDefault="00F86A94" w:rsidP="000467DE">
      <w:pPr>
        <w:rPr>
          <w:rFonts w:ascii="Calibri" w:hAnsi="Calibri" w:cs="Calibri"/>
          <w:szCs w:val="24"/>
          <w:lang w:eastAsia="en-US"/>
        </w:rPr>
      </w:pPr>
      <w:r w:rsidRPr="00743526">
        <w:rPr>
          <w:rFonts w:asciiTheme="minorHAnsi" w:eastAsiaTheme="minorHAnsi" w:hAnsiTheme="minorHAnsi" w:cstheme="minorBidi"/>
          <w:szCs w:val="24"/>
          <w:lang w:eastAsia="en-US"/>
        </w:rPr>
        <w:t xml:space="preserve">Również w ramach </w:t>
      </w:r>
      <w:r w:rsidR="009F5B7D" w:rsidRPr="00743526">
        <w:rPr>
          <w:rFonts w:ascii="Calibri" w:hAnsi="Calibri" w:cs="Calibri"/>
          <w:szCs w:val="24"/>
        </w:rPr>
        <w:t>Programu Współpracy Transgranicznej Interreg NEXT Polska-Ukraina 2021-2027</w:t>
      </w:r>
      <w:r w:rsidRPr="00743526">
        <w:rPr>
          <w:rFonts w:ascii="Calibri" w:hAnsi="Calibri" w:cs="Calibri"/>
          <w:szCs w:val="24"/>
        </w:rPr>
        <w:t xml:space="preserve">, </w:t>
      </w:r>
      <w:r w:rsidR="000467DE" w:rsidRPr="00743526">
        <w:rPr>
          <w:rFonts w:ascii="Calibri" w:hAnsi="Calibri" w:cs="Calibri"/>
          <w:szCs w:val="24"/>
          <w:lang w:eastAsia="en-US"/>
        </w:rPr>
        <w:t xml:space="preserve">istnieje potencjalna możliwość realizacji dwóch projektów </w:t>
      </w:r>
      <w:bookmarkStart w:id="6" w:name="_Hlk149130302"/>
      <w:r w:rsidR="000467DE" w:rsidRPr="00743526">
        <w:rPr>
          <w:rFonts w:ascii="Calibri" w:hAnsi="Calibri" w:cs="Calibri"/>
          <w:szCs w:val="24"/>
          <w:lang w:eastAsia="en-US"/>
        </w:rPr>
        <w:t>PGW WP</w:t>
      </w:r>
      <w:bookmarkEnd w:id="6"/>
      <w:r w:rsidR="000467DE" w:rsidRPr="00743526">
        <w:rPr>
          <w:rFonts w:ascii="Calibri" w:hAnsi="Calibri" w:cs="Calibri"/>
          <w:szCs w:val="24"/>
          <w:lang w:eastAsia="en-US"/>
        </w:rPr>
        <w:t xml:space="preserve">. Informacja w tym zakresie była omawiana podczas </w:t>
      </w:r>
      <w:r w:rsidR="00E8071C" w:rsidRPr="00743526">
        <w:rPr>
          <w:rFonts w:ascii="Calibri" w:hAnsi="Calibri" w:cs="Calibri"/>
          <w:szCs w:val="24"/>
          <w:lang w:eastAsia="en-US"/>
        </w:rPr>
        <w:t xml:space="preserve">XX </w:t>
      </w:r>
      <w:r w:rsidR="000467DE" w:rsidRPr="00743526">
        <w:rPr>
          <w:rFonts w:ascii="Calibri" w:hAnsi="Calibri" w:cs="Calibri"/>
          <w:szCs w:val="24"/>
          <w:lang w:eastAsia="en-US"/>
        </w:rPr>
        <w:t>posiedzenia Komisji w 2022 r. i stanowi załącznik nr 13 do protokołu z ubiegłego roku. W 2023 r. nastąpiły dalsze działania w ramach przedmiotowych projektów:</w:t>
      </w:r>
    </w:p>
    <w:p w14:paraId="4305A19E" w14:textId="420A7AA7" w:rsidR="000467DE" w:rsidRPr="00743526" w:rsidRDefault="000467DE" w:rsidP="008745A7">
      <w:pPr>
        <w:pStyle w:val="Akapitzlist"/>
        <w:numPr>
          <w:ilvl w:val="0"/>
          <w:numId w:val="36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743526">
        <w:rPr>
          <w:rFonts w:ascii="Calibri" w:hAnsi="Calibri" w:cs="Calibri"/>
          <w:sz w:val="24"/>
          <w:szCs w:val="24"/>
        </w:rPr>
        <w:t xml:space="preserve">Zabezpieczenie przed powodzią doliny rzeki Strwiąż na terenie gminy Ustrzyki Dolne, powiat bieszczadzki, woj. podkarpackie. </w:t>
      </w:r>
      <w:r w:rsidR="008745A7" w:rsidRPr="00743526">
        <w:rPr>
          <w:rFonts w:ascii="Calibri" w:hAnsi="Calibri" w:cs="Calibri"/>
          <w:sz w:val="24"/>
          <w:szCs w:val="24"/>
        </w:rPr>
        <w:t>W dniu 22 marca 2023 r. do Regionalnego Dyrektora Ochrony Środowiska w Rzeszowie złożony został wniosek o wydanie decyzji środowiskowej. Planowany termin uzyskania przedmiotowej decyzji to I kwartał 2024 roku. W 2024 roku planowane jest zlecenie wykonania operatu wodnoprawnego uwzględniającego przedstawiającego szczegółowe rozwiązania projektowe.</w:t>
      </w:r>
    </w:p>
    <w:p w14:paraId="6E207333" w14:textId="2BA66D70" w:rsidR="009F5B7D" w:rsidRPr="00743526" w:rsidRDefault="008745A7" w:rsidP="00F86A94">
      <w:pPr>
        <w:pStyle w:val="Akapitzlist"/>
        <w:numPr>
          <w:ilvl w:val="0"/>
          <w:numId w:val="36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743526">
        <w:rPr>
          <w:rFonts w:ascii="Calibri" w:hAnsi="Calibri" w:cs="Calibri"/>
          <w:sz w:val="24"/>
          <w:szCs w:val="24"/>
        </w:rPr>
        <w:t>Przywrócenie ciągłości biologicznej/morfologicznej w ciekach PL-UA transgranicznych zlewni.</w:t>
      </w:r>
      <w:r w:rsidRPr="00743526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743526">
        <w:rPr>
          <w:rFonts w:ascii="Calibri" w:hAnsi="Calibri" w:cs="Calibri"/>
          <w:sz w:val="24"/>
          <w:szCs w:val="24"/>
        </w:rPr>
        <w:t>Projekt został zgłoszony jako działania horyzontalne, możliwe w przyszłości</w:t>
      </w:r>
      <w:r w:rsidRPr="00743526">
        <w:rPr>
          <w:sz w:val="24"/>
          <w:szCs w:val="24"/>
        </w:rPr>
        <w:t xml:space="preserve"> </w:t>
      </w:r>
      <w:r w:rsidRPr="00743526">
        <w:rPr>
          <w:rFonts w:ascii="Calibri" w:hAnsi="Calibri" w:cs="Calibri"/>
          <w:sz w:val="24"/>
          <w:szCs w:val="24"/>
        </w:rPr>
        <w:t>do ewentualnej realizacji, po dokonaniu szczegółowych uzgodnień ze stroną ukraińską. Podjęcie dalszych kroków wymagałoby w pierwszej kolejności uzyskania ze strony UA potwierdzenia zainteresowania takim projektem, a następnie uszczegółowieniem zakresu prac i ich terminu. Ewentualne złożenie projektu do Interreg NEXT byłoby możliwe po wykonaniu ww. działań.</w:t>
      </w:r>
    </w:p>
    <w:p w14:paraId="5E7473C7" w14:textId="7F2C069D" w:rsidR="00BF7C4A" w:rsidRPr="00743526" w:rsidRDefault="00BF7C4A" w:rsidP="00BF7C4A">
      <w:pPr>
        <w:pStyle w:val="Bezodstpw"/>
        <w:spacing w:after="120"/>
        <w:jc w:val="both"/>
        <w:rPr>
          <w:rFonts w:cstheme="minorHAnsi"/>
          <w:sz w:val="24"/>
          <w:szCs w:val="24"/>
        </w:rPr>
      </w:pPr>
      <w:r w:rsidRPr="00743526">
        <w:rPr>
          <w:sz w:val="24"/>
          <w:szCs w:val="24"/>
        </w:rPr>
        <w:t>Ponadto</w:t>
      </w:r>
      <w:r w:rsidR="008D2400" w:rsidRPr="00743526">
        <w:rPr>
          <w:sz w:val="24"/>
          <w:szCs w:val="24"/>
        </w:rPr>
        <w:t>,</w:t>
      </w:r>
      <w:r w:rsidRPr="00743526">
        <w:rPr>
          <w:sz w:val="24"/>
          <w:szCs w:val="24"/>
        </w:rPr>
        <w:t xml:space="preserve"> oprócz zadań ustalonych w planie pracy na 202</w:t>
      </w:r>
      <w:r w:rsidR="00690D16" w:rsidRPr="00743526">
        <w:rPr>
          <w:sz w:val="24"/>
          <w:szCs w:val="24"/>
        </w:rPr>
        <w:t>3</w:t>
      </w:r>
      <w:r w:rsidRPr="00743526">
        <w:rPr>
          <w:sz w:val="24"/>
          <w:szCs w:val="24"/>
        </w:rPr>
        <w:t xml:space="preserve"> r. Zastępcy Pełnomocników w drodze komunikacji elektroniczne</w:t>
      </w:r>
      <w:r w:rsidR="008D2400" w:rsidRPr="00743526">
        <w:rPr>
          <w:sz w:val="24"/>
          <w:szCs w:val="24"/>
        </w:rPr>
        <w:t>j wymienili</w:t>
      </w:r>
      <w:r w:rsidR="00F86A94" w:rsidRPr="00743526">
        <w:rPr>
          <w:sz w:val="24"/>
          <w:szCs w:val="24"/>
        </w:rPr>
        <w:t xml:space="preserve"> informacje</w:t>
      </w:r>
      <w:r w:rsidRPr="00743526">
        <w:rPr>
          <w:sz w:val="24"/>
          <w:szCs w:val="24"/>
        </w:rPr>
        <w:t xml:space="preserve"> na temat zmian w składach osobowych grup roboczych, </w:t>
      </w:r>
      <w:bookmarkStart w:id="7" w:name="_Hlk149130968"/>
      <w:r w:rsidRPr="00743526">
        <w:rPr>
          <w:sz w:val="24"/>
          <w:szCs w:val="24"/>
        </w:rPr>
        <w:t xml:space="preserve">w tym zmiany na stanowisku </w:t>
      </w:r>
      <w:r w:rsidR="00690D16" w:rsidRPr="00743526">
        <w:rPr>
          <w:sz w:val="24"/>
          <w:szCs w:val="24"/>
        </w:rPr>
        <w:t>Sekretarza</w:t>
      </w:r>
      <w:r w:rsidRPr="00743526">
        <w:rPr>
          <w:sz w:val="24"/>
          <w:szCs w:val="24"/>
        </w:rPr>
        <w:t xml:space="preserve"> </w:t>
      </w:r>
      <w:bookmarkEnd w:id="7"/>
      <w:r w:rsidRPr="00743526">
        <w:rPr>
          <w:sz w:val="24"/>
          <w:szCs w:val="24"/>
        </w:rPr>
        <w:t xml:space="preserve">po stronie </w:t>
      </w:r>
      <w:r w:rsidR="00690D16" w:rsidRPr="00743526">
        <w:rPr>
          <w:sz w:val="24"/>
          <w:szCs w:val="24"/>
        </w:rPr>
        <w:t>ukraińskiej</w:t>
      </w:r>
      <w:r w:rsidRPr="00743526">
        <w:rPr>
          <w:sz w:val="24"/>
          <w:szCs w:val="24"/>
        </w:rPr>
        <w:t xml:space="preserve">. </w:t>
      </w:r>
    </w:p>
    <w:p w14:paraId="2E36D521" w14:textId="32323491" w:rsidR="00CB2FC2" w:rsidRDefault="008D2400" w:rsidP="00690D16">
      <w:pPr>
        <w:pStyle w:val="Bezodstpw"/>
        <w:spacing w:after="120"/>
        <w:jc w:val="both"/>
        <w:rPr>
          <w:sz w:val="24"/>
          <w:szCs w:val="24"/>
        </w:rPr>
      </w:pPr>
      <w:r w:rsidRPr="00743526">
        <w:rPr>
          <w:sz w:val="24"/>
          <w:szCs w:val="24"/>
        </w:rPr>
        <w:t xml:space="preserve">Strony uzgodniły materiały grup roboczych przedłożonych na </w:t>
      </w:r>
      <w:r w:rsidR="00E8071C" w:rsidRPr="00743526">
        <w:rPr>
          <w:sz w:val="24"/>
          <w:szCs w:val="24"/>
        </w:rPr>
        <w:t xml:space="preserve">ХXI </w:t>
      </w:r>
      <w:r w:rsidR="00F86A94" w:rsidRPr="00743526">
        <w:rPr>
          <w:sz w:val="24"/>
          <w:szCs w:val="24"/>
        </w:rPr>
        <w:t>posiedzenie</w:t>
      </w:r>
      <w:r w:rsidRPr="00743526">
        <w:rPr>
          <w:sz w:val="24"/>
          <w:szCs w:val="24"/>
        </w:rPr>
        <w:t xml:space="preserve"> Komisji oraz przygotowały projekt planu pracy </w:t>
      </w:r>
      <w:r w:rsidR="00F86A94" w:rsidRPr="00743526">
        <w:rPr>
          <w:sz w:val="24"/>
          <w:szCs w:val="24"/>
        </w:rPr>
        <w:t xml:space="preserve">Zastępców Pełnomocników </w:t>
      </w:r>
      <w:r w:rsidRPr="00743526">
        <w:rPr>
          <w:sz w:val="24"/>
          <w:szCs w:val="24"/>
        </w:rPr>
        <w:t>na 202</w:t>
      </w:r>
      <w:r w:rsidR="005A7ED6" w:rsidRPr="00743526">
        <w:rPr>
          <w:sz w:val="24"/>
          <w:szCs w:val="24"/>
        </w:rPr>
        <w:t>4</w:t>
      </w:r>
      <w:r w:rsidRPr="00743526">
        <w:rPr>
          <w:sz w:val="24"/>
          <w:szCs w:val="24"/>
        </w:rPr>
        <w:t xml:space="preserve"> rok. </w:t>
      </w:r>
    </w:p>
    <w:p w14:paraId="6D55EFB4" w14:textId="77777777" w:rsidR="00D42B54" w:rsidRDefault="00D42B54" w:rsidP="00690D16">
      <w:pPr>
        <w:pStyle w:val="Bezodstpw"/>
        <w:spacing w:after="120"/>
        <w:jc w:val="both"/>
        <w:rPr>
          <w:sz w:val="24"/>
          <w:szCs w:val="24"/>
        </w:rPr>
      </w:pPr>
    </w:p>
    <w:p w14:paraId="14D9C0AF" w14:textId="6B564AC5" w:rsidR="00D42B54" w:rsidRPr="00BB7308" w:rsidRDefault="00D42B54" w:rsidP="00690D16">
      <w:pPr>
        <w:pStyle w:val="Bezodstpw"/>
        <w:spacing w:after="120"/>
        <w:jc w:val="both"/>
      </w:pPr>
      <w:bookmarkStart w:id="8" w:name="_GoBack"/>
      <w:bookmarkEnd w:id="8"/>
    </w:p>
    <w:p w14:paraId="7A3FDF70" w14:textId="77777777" w:rsidR="00656550" w:rsidRPr="00122831" w:rsidRDefault="00656550" w:rsidP="00FF54ED">
      <w:pPr>
        <w:pStyle w:val="Bezodstpw"/>
        <w:spacing w:after="120"/>
        <w:jc w:val="both"/>
        <w:rPr>
          <w:rFonts w:cstheme="minorHAnsi"/>
          <w:sz w:val="24"/>
          <w:szCs w:val="24"/>
        </w:rPr>
      </w:pPr>
    </w:p>
    <w:sectPr w:rsidR="00656550" w:rsidRPr="00122831" w:rsidSect="00633325">
      <w:footerReference w:type="default" r:id="rId7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8ABEB6" w14:textId="77777777" w:rsidR="00DA2000" w:rsidRDefault="00DA2000" w:rsidP="007A783C">
      <w:r>
        <w:separator/>
      </w:r>
    </w:p>
  </w:endnote>
  <w:endnote w:type="continuationSeparator" w:id="0">
    <w:p w14:paraId="15B10F68" w14:textId="77777777" w:rsidR="00DA2000" w:rsidRDefault="00DA2000" w:rsidP="007A7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3568683"/>
      <w:docPartObj>
        <w:docPartGallery w:val="Page Numbers (Bottom of Page)"/>
        <w:docPartUnique/>
      </w:docPartObj>
    </w:sdtPr>
    <w:sdtEndPr/>
    <w:sdtContent>
      <w:p w14:paraId="130BCA4C" w14:textId="6444F6AC" w:rsidR="00341CFD" w:rsidRDefault="00341CF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000">
          <w:rPr>
            <w:noProof/>
          </w:rPr>
          <w:t>1</w:t>
        </w:r>
        <w:r>
          <w:fldChar w:fldCharType="end"/>
        </w:r>
      </w:p>
    </w:sdtContent>
  </w:sdt>
  <w:p w14:paraId="2C116E59" w14:textId="704F99D1" w:rsidR="00623E7B" w:rsidRPr="00DE1C40" w:rsidRDefault="00623E7B" w:rsidP="0087673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113C57" w14:textId="77777777" w:rsidR="00DA2000" w:rsidRDefault="00DA2000" w:rsidP="007A783C">
      <w:r>
        <w:separator/>
      </w:r>
    </w:p>
  </w:footnote>
  <w:footnote w:type="continuationSeparator" w:id="0">
    <w:p w14:paraId="710537D0" w14:textId="77777777" w:rsidR="00DA2000" w:rsidRDefault="00DA2000" w:rsidP="007A7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B0DA6"/>
    <w:multiLevelType w:val="hybridMultilevel"/>
    <w:tmpl w:val="5C5C9208"/>
    <w:lvl w:ilvl="0" w:tplc="2222F5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13D2470"/>
    <w:multiLevelType w:val="multilevel"/>
    <w:tmpl w:val="0CC40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36" w:hanging="2160"/>
      </w:pPr>
      <w:rPr>
        <w:rFonts w:hint="default"/>
      </w:rPr>
    </w:lvl>
  </w:abstractNum>
  <w:abstractNum w:abstractNumId="2" w15:restartNumberingAfterBreak="0">
    <w:nsid w:val="045903D0"/>
    <w:multiLevelType w:val="multilevel"/>
    <w:tmpl w:val="DC740C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051C42F1"/>
    <w:multiLevelType w:val="hybridMultilevel"/>
    <w:tmpl w:val="D75A2904"/>
    <w:lvl w:ilvl="0" w:tplc="AA96C68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23504B"/>
    <w:multiLevelType w:val="hybridMultilevel"/>
    <w:tmpl w:val="425E9828"/>
    <w:lvl w:ilvl="0" w:tplc="8B3037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85D0B92"/>
    <w:multiLevelType w:val="hybridMultilevel"/>
    <w:tmpl w:val="3738DF86"/>
    <w:lvl w:ilvl="0" w:tplc="EC9487F0">
      <w:start w:val="1"/>
      <w:numFmt w:val="decimal"/>
      <w:lvlText w:val="%1."/>
      <w:lvlJc w:val="left"/>
      <w:pPr>
        <w:ind w:left="927" w:hanging="360"/>
      </w:pPr>
    </w:lvl>
    <w:lvl w:ilvl="1" w:tplc="DAF466DE">
      <w:start w:val="1"/>
      <w:numFmt w:val="bullet"/>
      <w:lvlText w:val="•"/>
      <w:lvlJc w:val="left"/>
      <w:pPr>
        <w:ind w:left="1647" w:hanging="360"/>
      </w:pPr>
      <w:rPr>
        <w:rFonts w:ascii="Times New Roman" w:eastAsiaTheme="minorHAnsi" w:hAnsi="Times New Roman" w:cs="Times New Roman" w:hint="default"/>
      </w:rPr>
    </w:lvl>
    <w:lvl w:ilvl="2" w:tplc="9AB6E0E0">
      <w:start w:val="1"/>
      <w:numFmt w:val="decimal"/>
      <w:lvlText w:val="%3)"/>
      <w:lvlJc w:val="left"/>
      <w:pPr>
        <w:ind w:left="2547" w:hanging="36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DB04646"/>
    <w:multiLevelType w:val="hybridMultilevel"/>
    <w:tmpl w:val="93B4CD50"/>
    <w:lvl w:ilvl="0" w:tplc="AA96C6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548AB"/>
    <w:multiLevelType w:val="hybridMultilevel"/>
    <w:tmpl w:val="B10EF5AA"/>
    <w:lvl w:ilvl="0" w:tplc="0138FB1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1CB254D"/>
    <w:multiLevelType w:val="hybridMultilevel"/>
    <w:tmpl w:val="159EBCE2"/>
    <w:lvl w:ilvl="0" w:tplc="AB206B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2BB06B1"/>
    <w:multiLevelType w:val="hybridMultilevel"/>
    <w:tmpl w:val="5B320B80"/>
    <w:lvl w:ilvl="0" w:tplc="9F3C41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F2D149D"/>
    <w:multiLevelType w:val="hybridMultilevel"/>
    <w:tmpl w:val="2D42B3FE"/>
    <w:lvl w:ilvl="0" w:tplc="4740B2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D081C3D"/>
    <w:multiLevelType w:val="hybridMultilevel"/>
    <w:tmpl w:val="655E4D60"/>
    <w:lvl w:ilvl="0" w:tplc="E74E4F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EB45055"/>
    <w:multiLevelType w:val="hybridMultilevel"/>
    <w:tmpl w:val="151E8D7E"/>
    <w:lvl w:ilvl="0" w:tplc="4C6E8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421EB2"/>
    <w:multiLevelType w:val="hybridMultilevel"/>
    <w:tmpl w:val="1716190A"/>
    <w:lvl w:ilvl="0" w:tplc="63B8DE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4925CCE"/>
    <w:multiLevelType w:val="hybridMultilevel"/>
    <w:tmpl w:val="6B38C9F2"/>
    <w:lvl w:ilvl="0" w:tplc="1268A6DA">
      <w:start w:val="2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1547B0"/>
    <w:multiLevelType w:val="hybridMultilevel"/>
    <w:tmpl w:val="BC221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191A8E"/>
    <w:multiLevelType w:val="hybridMultilevel"/>
    <w:tmpl w:val="2A2E6DE0"/>
    <w:lvl w:ilvl="0" w:tplc="98B272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2A96D02"/>
    <w:multiLevelType w:val="hybridMultilevel"/>
    <w:tmpl w:val="8A3496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90BB6"/>
    <w:multiLevelType w:val="hybridMultilevel"/>
    <w:tmpl w:val="1716190A"/>
    <w:lvl w:ilvl="0" w:tplc="63B8DE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64F661F"/>
    <w:multiLevelType w:val="hybridMultilevel"/>
    <w:tmpl w:val="2452AB84"/>
    <w:lvl w:ilvl="0" w:tplc="FF7A7C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6DF02EA"/>
    <w:multiLevelType w:val="hybridMultilevel"/>
    <w:tmpl w:val="FB069B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8224A53"/>
    <w:multiLevelType w:val="hybridMultilevel"/>
    <w:tmpl w:val="6EB6B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6E33DF"/>
    <w:multiLevelType w:val="hybridMultilevel"/>
    <w:tmpl w:val="2742839E"/>
    <w:lvl w:ilvl="0" w:tplc="427CFCE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9B66DF9"/>
    <w:multiLevelType w:val="hybridMultilevel"/>
    <w:tmpl w:val="D0528F44"/>
    <w:lvl w:ilvl="0" w:tplc="96F6DCF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BDB2C81"/>
    <w:multiLevelType w:val="hybridMultilevel"/>
    <w:tmpl w:val="B8E4A802"/>
    <w:lvl w:ilvl="0" w:tplc="655C06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DE97DF5"/>
    <w:multiLevelType w:val="hybridMultilevel"/>
    <w:tmpl w:val="96967278"/>
    <w:lvl w:ilvl="0" w:tplc="6D32A7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ED1444A"/>
    <w:multiLevelType w:val="hybridMultilevel"/>
    <w:tmpl w:val="1DFCB67A"/>
    <w:lvl w:ilvl="0" w:tplc="FB7ED1A4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04A4C12"/>
    <w:multiLevelType w:val="multilevel"/>
    <w:tmpl w:val="34F643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75A2B8D"/>
    <w:multiLevelType w:val="hybridMultilevel"/>
    <w:tmpl w:val="DE061864"/>
    <w:lvl w:ilvl="0" w:tplc="43C698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B851180"/>
    <w:multiLevelType w:val="hybridMultilevel"/>
    <w:tmpl w:val="73E6CB3E"/>
    <w:lvl w:ilvl="0" w:tplc="865872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BF149D6"/>
    <w:multiLevelType w:val="hybridMultilevel"/>
    <w:tmpl w:val="E300200A"/>
    <w:lvl w:ilvl="0" w:tplc="5CA8F08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EAD4342"/>
    <w:multiLevelType w:val="multilevel"/>
    <w:tmpl w:val="C49AE66C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2" w15:restartNumberingAfterBreak="0">
    <w:nsid w:val="75E403D3"/>
    <w:multiLevelType w:val="hybridMultilevel"/>
    <w:tmpl w:val="F5FA25DE"/>
    <w:lvl w:ilvl="0" w:tplc="69123156">
      <w:start w:val="1"/>
      <w:numFmt w:val="upperRoman"/>
      <w:lvlText w:val="%1."/>
      <w:lvlJc w:val="left"/>
      <w:pPr>
        <w:ind w:left="8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3" w15:restartNumberingAfterBreak="0">
    <w:nsid w:val="7A4F6B6D"/>
    <w:multiLevelType w:val="hybridMultilevel"/>
    <w:tmpl w:val="A300A552"/>
    <w:lvl w:ilvl="0" w:tplc="C26665B0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D352232"/>
    <w:multiLevelType w:val="hybridMultilevel"/>
    <w:tmpl w:val="B10EF5AA"/>
    <w:lvl w:ilvl="0" w:tplc="0138FB1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E4B56D5"/>
    <w:multiLevelType w:val="hybridMultilevel"/>
    <w:tmpl w:val="D0DE5A5C"/>
    <w:lvl w:ilvl="0" w:tplc="1268A6DA">
      <w:start w:val="29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7"/>
  </w:num>
  <w:num w:numId="4">
    <w:abstractNumId w:val="20"/>
  </w:num>
  <w:num w:numId="5">
    <w:abstractNumId w:val="16"/>
  </w:num>
  <w:num w:numId="6">
    <w:abstractNumId w:val="10"/>
  </w:num>
  <w:num w:numId="7">
    <w:abstractNumId w:val="3"/>
  </w:num>
  <w:num w:numId="8">
    <w:abstractNumId w:val="35"/>
  </w:num>
  <w:num w:numId="9">
    <w:abstractNumId w:val="29"/>
  </w:num>
  <w:num w:numId="10">
    <w:abstractNumId w:val="13"/>
  </w:num>
  <w:num w:numId="11">
    <w:abstractNumId w:val="9"/>
  </w:num>
  <w:num w:numId="12">
    <w:abstractNumId w:val="19"/>
  </w:num>
  <w:num w:numId="13">
    <w:abstractNumId w:val="23"/>
  </w:num>
  <w:num w:numId="14">
    <w:abstractNumId w:val="26"/>
  </w:num>
  <w:num w:numId="15">
    <w:abstractNumId w:val="4"/>
  </w:num>
  <w:num w:numId="16">
    <w:abstractNumId w:val="24"/>
  </w:num>
  <w:num w:numId="17">
    <w:abstractNumId w:val="0"/>
  </w:num>
  <w:num w:numId="18">
    <w:abstractNumId w:val="31"/>
  </w:num>
  <w:num w:numId="19">
    <w:abstractNumId w:val="2"/>
  </w:num>
  <w:num w:numId="20">
    <w:abstractNumId w:val="8"/>
  </w:num>
  <w:num w:numId="21">
    <w:abstractNumId w:val="11"/>
  </w:num>
  <w:num w:numId="22">
    <w:abstractNumId w:val="28"/>
  </w:num>
  <w:num w:numId="23">
    <w:abstractNumId w:val="21"/>
  </w:num>
  <w:num w:numId="24">
    <w:abstractNumId w:val="25"/>
  </w:num>
  <w:num w:numId="25">
    <w:abstractNumId w:val="18"/>
  </w:num>
  <w:num w:numId="26">
    <w:abstractNumId w:val="30"/>
  </w:num>
  <w:num w:numId="27">
    <w:abstractNumId w:val="34"/>
  </w:num>
  <w:num w:numId="28">
    <w:abstractNumId w:val="7"/>
  </w:num>
  <w:num w:numId="29">
    <w:abstractNumId w:val="1"/>
  </w:num>
  <w:num w:numId="30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33"/>
  </w:num>
  <w:num w:numId="33">
    <w:abstractNumId w:val="27"/>
  </w:num>
  <w:num w:numId="34">
    <w:abstractNumId w:val="12"/>
  </w:num>
  <w:num w:numId="35">
    <w:abstractNumId w:val="32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C69"/>
    <w:rsid w:val="000065A8"/>
    <w:rsid w:val="0004103D"/>
    <w:rsid w:val="000433F5"/>
    <w:rsid w:val="000467DE"/>
    <w:rsid w:val="0006667C"/>
    <w:rsid w:val="00074C49"/>
    <w:rsid w:val="000C1C3E"/>
    <w:rsid w:val="000E5B74"/>
    <w:rsid w:val="000F12A8"/>
    <w:rsid w:val="00106EAB"/>
    <w:rsid w:val="0011014C"/>
    <w:rsid w:val="00111335"/>
    <w:rsid w:val="0011570B"/>
    <w:rsid w:val="00122831"/>
    <w:rsid w:val="00126C75"/>
    <w:rsid w:val="00143931"/>
    <w:rsid w:val="00151B07"/>
    <w:rsid w:val="0017128E"/>
    <w:rsid w:val="00173CDC"/>
    <w:rsid w:val="00176440"/>
    <w:rsid w:val="001A04A3"/>
    <w:rsid w:val="001B05EF"/>
    <w:rsid w:val="001B5B81"/>
    <w:rsid w:val="001C193E"/>
    <w:rsid w:val="001C35EA"/>
    <w:rsid w:val="00211B68"/>
    <w:rsid w:val="00222385"/>
    <w:rsid w:val="00223E71"/>
    <w:rsid w:val="00235431"/>
    <w:rsid w:val="0024044E"/>
    <w:rsid w:val="0026129C"/>
    <w:rsid w:val="0026604F"/>
    <w:rsid w:val="002705DF"/>
    <w:rsid w:val="00274411"/>
    <w:rsid w:val="002812E1"/>
    <w:rsid w:val="00282802"/>
    <w:rsid w:val="002C05AE"/>
    <w:rsid w:val="002E0ABD"/>
    <w:rsid w:val="002E21D7"/>
    <w:rsid w:val="002F2A72"/>
    <w:rsid w:val="0031141D"/>
    <w:rsid w:val="003357E4"/>
    <w:rsid w:val="00337650"/>
    <w:rsid w:val="00341CFD"/>
    <w:rsid w:val="003420F9"/>
    <w:rsid w:val="00352572"/>
    <w:rsid w:val="00352AE4"/>
    <w:rsid w:val="00353FF0"/>
    <w:rsid w:val="003B5C9E"/>
    <w:rsid w:val="003F14B2"/>
    <w:rsid w:val="003F2EC5"/>
    <w:rsid w:val="003F5856"/>
    <w:rsid w:val="00416171"/>
    <w:rsid w:val="00455DE7"/>
    <w:rsid w:val="00457C15"/>
    <w:rsid w:val="004620DE"/>
    <w:rsid w:val="00467B0B"/>
    <w:rsid w:val="004831C6"/>
    <w:rsid w:val="004871F8"/>
    <w:rsid w:val="004B5D7A"/>
    <w:rsid w:val="004D4797"/>
    <w:rsid w:val="00513A97"/>
    <w:rsid w:val="005237D7"/>
    <w:rsid w:val="00526708"/>
    <w:rsid w:val="0053356C"/>
    <w:rsid w:val="00542619"/>
    <w:rsid w:val="005456B4"/>
    <w:rsid w:val="00554889"/>
    <w:rsid w:val="00556BFF"/>
    <w:rsid w:val="0056213D"/>
    <w:rsid w:val="00580896"/>
    <w:rsid w:val="00594B34"/>
    <w:rsid w:val="005A5DCA"/>
    <w:rsid w:val="005A6C69"/>
    <w:rsid w:val="005A7ED6"/>
    <w:rsid w:val="005B5CC3"/>
    <w:rsid w:val="005D28C3"/>
    <w:rsid w:val="005D299E"/>
    <w:rsid w:val="005F2151"/>
    <w:rsid w:val="00623E7B"/>
    <w:rsid w:val="00627FDE"/>
    <w:rsid w:val="00633325"/>
    <w:rsid w:val="006335B1"/>
    <w:rsid w:val="00647E08"/>
    <w:rsid w:val="00656550"/>
    <w:rsid w:val="00661087"/>
    <w:rsid w:val="00682E9A"/>
    <w:rsid w:val="00690D16"/>
    <w:rsid w:val="006A2B6B"/>
    <w:rsid w:val="006C545B"/>
    <w:rsid w:val="006D5ED0"/>
    <w:rsid w:val="006E5460"/>
    <w:rsid w:val="006E6BB7"/>
    <w:rsid w:val="006F2FCB"/>
    <w:rsid w:val="00711118"/>
    <w:rsid w:val="00743526"/>
    <w:rsid w:val="00765A51"/>
    <w:rsid w:val="007A0CD1"/>
    <w:rsid w:val="007A3953"/>
    <w:rsid w:val="007A783C"/>
    <w:rsid w:val="007B22F8"/>
    <w:rsid w:val="007B3A3B"/>
    <w:rsid w:val="007E674F"/>
    <w:rsid w:val="007E7873"/>
    <w:rsid w:val="007F12DB"/>
    <w:rsid w:val="00816306"/>
    <w:rsid w:val="00827300"/>
    <w:rsid w:val="008301EA"/>
    <w:rsid w:val="00857364"/>
    <w:rsid w:val="008745A7"/>
    <w:rsid w:val="00876734"/>
    <w:rsid w:val="008917F3"/>
    <w:rsid w:val="008C34ED"/>
    <w:rsid w:val="008C3F13"/>
    <w:rsid w:val="008D2400"/>
    <w:rsid w:val="008E5BDE"/>
    <w:rsid w:val="008F0599"/>
    <w:rsid w:val="008F1FC3"/>
    <w:rsid w:val="00931D92"/>
    <w:rsid w:val="00950CED"/>
    <w:rsid w:val="009609C4"/>
    <w:rsid w:val="00973862"/>
    <w:rsid w:val="009855CB"/>
    <w:rsid w:val="009944CE"/>
    <w:rsid w:val="009A03FD"/>
    <w:rsid w:val="009E661B"/>
    <w:rsid w:val="009F5B7D"/>
    <w:rsid w:val="00A356CC"/>
    <w:rsid w:val="00A36006"/>
    <w:rsid w:val="00A661C3"/>
    <w:rsid w:val="00A73880"/>
    <w:rsid w:val="00AA3D1E"/>
    <w:rsid w:val="00AA4B99"/>
    <w:rsid w:val="00AB19AE"/>
    <w:rsid w:val="00AD2335"/>
    <w:rsid w:val="00AE498D"/>
    <w:rsid w:val="00B14208"/>
    <w:rsid w:val="00B50171"/>
    <w:rsid w:val="00B63D53"/>
    <w:rsid w:val="00BB7308"/>
    <w:rsid w:val="00BC3050"/>
    <w:rsid w:val="00BF7C4A"/>
    <w:rsid w:val="00C17630"/>
    <w:rsid w:val="00C27360"/>
    <w:rsid w:val="00C345EE"/>
    <w:rsid w:val="00C36878"/>
    <w:rsid w:val="00C46EED"/>
    <w:rsid w:val="00C50DEF"/>
    <w:rsid w:val="00C53711"/>
    <w:rsid w:val="00C67E6E"/>
    <w:rsid w:val="00C778D0"/>
    <w:rsid w:val="00C90164"/>
    <w:rsid w:val="00CA3148"/>
    <w:rsid w:val="00CB2FC2"/>
    <w:rsid w:val="00CB7749"/>
    <w:rsid w:val="00CC6F07"/>
    <w:rsid w:val="00CD357F"/>
    <w:rsid w:val="00CE252D"/>
    <w:rsid w:val="00CE25EB"/>
    <w:rsid w:val="00D05371"/>
    <w:rsid w:val="00D34C6D"/>
    <w:rsid w:val="00D42B54"/>
    <w:rsid w:val="00D52D7D"/>
    <w:rsid w:val="00D56755"/>
    <w:rsid w:val="00D761B3"/>
    <w:rsid w:val="00D838C8"/>
    <w:rsid w:val="00DA2000"/>
    <w:rsid w:val="00DB7FE5"/>
    <w:rsid w:val="00DE1C40"/>
    <w:rsid w:val="00DF7819"/>
    <w:rsid w:val="00E218D1"/>
    <w:rsid w:val="00E353FD"/>
    <w:rsid w:val="00E56683"/>
    <w:rsid w:val="00E8071C"/>
    <w:rsid w:val="00E85319"/>
    <w:rsid w:val="00EB15A5"/>
    <w:rsid w:val="00EC605C"/>
    <w:rsid w:val="00EF2A88"/>
    <w:rsid w:val="00F41552"/>
    <w:rsid w:val="00F4316E"/>
    <w:rsid w:val="00F51C25"/>
    <w:rsid w:val="00F72598"/>
    <w:rsid w:val="00F86A94"/>
    <w:rsid w:val="00FB3018"/>
    <w:rsid w:val="00FB41EF"/>
    <w:rsid w:val="00FC083D"/>
    <w:rsid w:val="00FC1139"/>
    <w:rsid w:val="00FD55A3"/>
    <w:rsid w:val="00FF2BA1"/>
    <w:rsid w:val="00FF54ED"/>
    <w:rsid w:val="00FF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780086"/>
  <w15:docId w15:val="{8F44F933-5D7C-468C-B972-5F32768A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67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B3018"/>
    <w:pPr>
      <w:keepNext/>
      <w:spacing w:line="360" w:lineRule="auto"/>
      <w:outlineLvl w:val="0"/>
    </w:pPr>
    <w:rPr>
      <w:rFonts w:ascii="Cambria" w:hAnsi="Cambria"/>
      <w:b/>
      <w:bCs/>
      <w:kern w:val="32"/>
      <w:sz w:val="32"/>
      <w:szCs w:val="32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20DE"/>
    <w:pPr>
      <w:spacing w:after="0" w:line="240" w:lineRule="auto"/>
    </w:pPr>
  </w:style>
  <w:style w:type="paragraph" w:customStyle="1" w:styleId="Default">
    <w:name w:val="Default"/>
    <w:rsid w:val="004D47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D4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52D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7A783C"/>
    <w:pPr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A783C"/>
  </w:style>
  <w:style w:type="paragraph" w:styleId="Stopka">
    <w:name w:val="footer"/>
    <w:basedOn w:val="Normalny"/>
    <w:link w:val="StopkaZnak"/>
    <w:uiPriority w:val="99"/>
    <w:unhideWhenUsed/>
    <w:rsid w:val="007A783C"/>
    <w:pPr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A783C"/>
  </w:style>
  <w:style w:type="character" w:customStyle="1" w:styleId="Nagwek1Znak">
    <w:name w:val="Nagłówek 1 Znak"/>
    <w:basedOn w:val="Domylnaczcionkaakapitu"/>
    <w:link w:val="Nagwek1"/>
    <w:uiPriority w:val="99"/>
    <w:rsid w:val="00FB3018"/>
    <w:rPr>
      <w:rFonts w:ascii="Cambria" w:eastAsia="Times New Roman" w:hAnsi="Cambria" w:cs="Times New Roman"/>
      <w:b/>
      <w:bCs/>
      <w:kern w:val="32"/>
      <w:sz w:val="32"/>
      <w:szCs w:val="3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55A3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55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55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6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849</Words>
  <Characters>4844</Characters>
  <Application>Microsoft Office Word</Application>
  <DocSecurity>0</DocSecurity>
  <Lines>40</Lines>
  <Paragraphs>11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ZNU</dc:creator>
  <cp:keywords/>
  <dc:description/>
  <cp:lastModifiedBy>Delis-Szeląg Katarzyna</cp:lastModifiedBy>
  <cp:revision>6</cp:revision>
  <dcterms:created xsi:type="dcterms:W3CDTF">2023-10-25T11:24:00Z</dcterms:created>
  <dcterms:modified xsi:type="dcterms:W3CDTF">2023-10-27T11:03:00Z</dcterms:modified>
</cp:coreProperties>
</file>